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283E" w:rsidRDefault="0070283E" w:rsidP="0070283E">
      <w:pPr>
        <w:rPr>
          <w:rFonts w:ascii="Arial" w:hAnsi="Arial" w:cs="Arial"/>
          <w:sz w:val="36"/>
        </w:rPr>
      </w:pPr>
      <w:r>
        <w:rPr>
          <w:noProof/>
          <w:lang w:eastAsia="it-IT"/>
        </w:rPr>
        <w:drawing>
          <wp:inline distT="0" distB="0" distL="0" distR="0" wp14:anchorId="57869570" wp14:editId="611FE026">
            <wp:extent cx="1052195" cy="475615"/>
            <wp:effectExtent l="0" t="0" r="0" b="635"/>
            <wp:docPr id="29" name="Immagine 11" descr="logo_quadric_Arpa-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magine 11" descr="logo_quadric_Arpa-pd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36"/>
        </w:rPr>
        <w:t xml:space="preserve">                                                               </w:t>
      </w:r>
      <w:r>
        <w:rPr>
          <w:noProof/>
          <w:lang w:eastAsia="it-IT"/>
        </w:rPr>
        <w:drawing>
          <wp:inline distT="0" distB="0" distL="0" distR="0" wp14:anchorId="1EE6F251" wp14:editId="1CEABF1B">
            <wp:extent cx="1000125" cy="614045"/>
            <wp:effectExtent l="0" t="0" r="9525" b="0"/>
            <wp:docPr id="2048" name="Immagine 2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" name="Immagine 204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83E" w:rsidRDefault="0070283E" w:rsidP="0070283E">
      <w:pPr>
        <w:rPr>
          <w:rFonts w:ascii="Arial" w:hAnsi="Arial" w:cs="Arial"/>
          <w:sz w:val="36"/>
        </w:rPr>
      </w:pPr>
    </w:p>
    <w:p w:rsidR="0070283E" w:rsidRDefault="0070283E" w:rsidP="0070283E">
      <w:pPr>
        <w:rPr>
          <w:rFonts w:ascii="Arial" w:hAnsi="Arial" w:cs="Arial"/>
          <w:sz w:val="36"/>
        </w:rPr>
      </w:pPr>
    </w:p>
    <w:p w:rsidR="0070283E" w:rsidRDefault="0070283E" w:rsidP="0070283E">
      <w:pPr>
        <w:rPr>
          <w:rFonts w:ascii="Arial" w:hAnsi="Arial" w:cs="Arial"/>
          <w:sz w:val="36"/>
        </w:rPr>
      </w:pPr>
    </w:p>
    <w:p w:rsidR="0070283E" w:rsidRPr="00DF0C5E" w:rsidRDefault="0070283E" w:rsidP="0070283E">
      <w:pPr>
        <w:jc w:val="center"/>
        <w:rPr>
          <w:rFonts w:cstheme="minorHAnsi"/>
          <w:b/>
          <w:color w:val="00B050"/>
          <w:sz w:val="48"/>
          <w:szCs w:val="48"/>
        </w:rPr>
      </w:pPr>
      <w:r w:rsidRPr="00DF0C5E">
        <w:rPr>
          <w:rFonts w:cstheme="minorHAnsi"/>
          <w:b/>
          <w:color w:val="00B050"/>
          <w:sz w:val="48"/>
          <w:szCs w:val="48"/>
        </w:rPr>
        <w:t xml:space="preserve">IL SISTEMA DI RATING </w:t>
      </w:r>
    </w:p>
    <w:p w:rsidR="0070283E" w:rsidRPr="00DF0C5E" w:rsidRDefault="0070283E" w:rsidP="0070283E">
      <w:pPr>
        <w:jc w:val="center"/>
        <w:rPr>
          <w:rFonts w:cstheme="minorHAnsi"/>
          <w:b/>
          <w:color w:val="00B050"/>
          <w:sz w:val="48"/>
          <w:szCs w:val="48"/>
        </w:rPr>
      </w:pPr>
      <w:r w:rsidRPr="00DF0C5E">
        <w:rPr>
          <w:rFonts w:cstheme="minorHAnsi"/>
          <w:b/>
          <w:color w:val="00B050"/>
          <w:sz w:val="48"/>
          <w:szCs w:val="48"/>
        </w:rPr>
        <w:t>DELLA SOSTENIBILITÀ DEGLI EVENTI</w:t>
      </w:r>
    </w:p>
    <w:p w:rsidR="0070283E" w:rsidRDefault="0070283E" w:rsidP="0070283E">
      <w:pPr>
        <w:jc w:val="center"/>
        <w:rPr>
          <w:rFonts w:ascii="Arial" w:hAnsi="Arial" w:cs="Arial"/>
          <w:sz w:val="36"/>
        </w:rPr>
      </w:pPr>
    </w:p>
    <w:p w:rsidR="0070283E" w:rsidRDefault="0070283E" w:rsidP="0070283E">
      <w:pPr>
        <w:jc w:val="center"/>
        <w:rPr>
          <w:rFonts w:ascii="Arial" w:hAnsi="Arial" w:cs="Arial"/>
          <w:sz w:val="36"/>
        </w:rPr>
      </w:pPr>
      <w:r>
        <w:rPr>
          <w:noProof/>
          <w:lang w:eastAsia="it-IT"/>
        </w:rPr>
        <w:drawing>
          <wp:inline distT="0" distB="0" distL="0" distR="0" wp14:anchorId="74B232B1" wp14:editId="734F9FDE">
            <wp:extent cx="6120130" cy="1606749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0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3E" w:rsidRDefault="0070283E" w:rsidP="0070283E">
      <w:pPr>
        <w:jc w:val="center"/>
        <w:rPr>
          <w:rFonts w:ascii="Arial" w:hAnsi="Arial" w:cs="Arial"/>
          <w:sz w:val="36"/>
        </w:rPr>
      </w:pPr>
      <w:r>
        <w:rPr>
          <w:noProof/>
          <w:lang w:eastAsia="it-IT"/>
        </w:rPr>
        <w:drawing>
          <wp:inline distT="0" distB="0" distL="0" distR="0" wp14:anchorId="50B4F352" wp14:editId="48E76B61">
            <wp:extent cx="6120130" cy="2547599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4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3E" w:rsidRDefault="0070283E" w:rsidP="0070283E">
      <w:pPr>
        <w:jc w:val="center"/>
        <w:rPr>
          <w:rFonts w:ascii="Arial" w:hAnsi="Arial" w:cs="Arial"/>
          <w:sz w:val="28"/>
          <w:szCs w:val="28"/>
        </w:rPr>
      </w:pPr>
    </w:p>
    <w:p w:rsidR="0070283E" w:rsidRDefault="0070283E" w:rsidP="0070283E">
      <w:pPr>
        <w:jc w:val="center"/>
        <w:rPr>
          <w:rFonts w:cstheme="minorHAnsi"/>
          <w:b/>
          <w:color w:val="00B050"/>
          <w:sz w:val="32"/>
          <w:szCs w:val="32"/>
        </w:rPr>
      </w:pPr>
      <w:r>
        <w:rPr>
          <w:rFonts w:cstheme="minorHAnsi"/>
          <w:b/>
          <w:color w:val="00B050"/>
          <w:sz w:val="32"/>
          <w:szCs w:val="32"/>
        </w:rPr>
        <w:t xml:space="preserve"> </w:t>
      </w:r>
    </w:p>
    <w:p w:rsidR="0070283E" w:rsidRDefault="0070283E" w:rsidP="0070283E">
      <w:pPr>
        <w:jc w:val="center"/>
        <w:rPr>
          <w:rFonts w:cstheme="minorHAnsi"/>
          <w:color w:val="00B050"/>
        </w:rPr>
      </w:pPr>
    </w:p>
    <w:p w:rsidR="00586A79" w:rsidRPr="00F71C06" w:rsidRDefault="00500C30" w:rsidP="00F71C06">
      <w:pPr>
        <w:spacing w:line="240" w:lineRule="auto"/>
        <w:ind w:hanging="1"/>
        <w:rPr>
          <w:rFonts w:cstheme="minorHAnsi"/>
          <w:color w:val="00B050"/>
        </w:rPr>
      </w:pPr>
      <w:r w:rsidRPr="00F71C06">
        <w:rPr>
          <w:rFonts w:cstheme="minorHAnsi"/>
          <w:color w:val="00B050"/>
        </w:rPr>
        <w:lastRenderedPageBreak/>
        <w:t>L’adesione al Sistema di Rating degli Eventi Sostenibili - RES</w:t>
      </w:r>
    </w:p>
    <w:p w:rsidR="00586A79" w:rsidRPr="00F71C06" w:rsidRDefault="00325433" w:rsidP="00F71C06">
      <w:pPr>
        <w:spacing w:line="240" w:lineRule="auto"/>
        <w:ind w:hanging="1"/>
        <w:jc w:val="both"/>
        <w:rPr>
          <w:rFonts w:cstheme="minorHAnsi"/>
        </w:rPr>
      </w:pPr>
      <w:r>
        <w:rPr>
          <w:rFonts w:cstheme="minorHAnsi"/>
        </w:rPr>
        <w:t xml:space="preserve">La </w:t>
      </w:r>
      <w:r w:rsidR="00500C30" w:rsidRPr="00F71C06">
        <w:rPr>
          <w:rFonts w:cstheme="minorHAnsi"/>
        </w:rPr>
        <w:t xml:space="preserve">Camera di Commercio dell’Umbria, </w:t>
      </w:r>
      <w:r>
        <w:rPr>
          <w:rFonts w:cstheme="minorHAnsi"/>
        </w:rPr>
        <w:t xml:space="preserve"> ha</w:t>
      </w:r>
      <w:r w:rsidR="00500C30" w:rsidRPr="00F71C06">
        <w:rPr>
          <w:rFonts w:cstheme="minorHAnsi"/>
        </w:rPr>
        <w:t xml:space="preserve"> introd</w:t>
      </w:r>
      <w:r>
        <w:rPr>
          <w:rFonts w:cstheme="minorHAnsi"/>
        </w:rPr>
        <w:t>otto</w:t>
      </w:r>
      <w:bookmarkStart w:id="0" w:name="_GoBack"/>
      <w:bookmarkEnd w:id="0"/>
      <w:r w:rsidR="00500C30" w:rsidRPr="00F71C06">
        <w:rPr>
          <w:rFonts w:cstheme="minorHAnsi"/>
        </w:rPr>
        <w:t xml:space="preserve"> un si</w:t>
      </w:r>
      <w:r w:rsidR="00942B22">
        <w:rPr>
          <w:rFonts w:cstheme="minorHAnsi"/>
        </w:rPr>
        <w:t xml:space="preserve">stema volontario di valutazione </w:t>
      </w:r>
      <w:r w:rsidR="00500C30" w:rsidRPr="00F71C06">
        <w:rPr>
          <w:rFonts w:cstheme="minorHAnsi"/>
        </w:rPr>
        <w:t xml:space="preserve">della attenzione posta dai proponenti </w:t>
      </w:r>
      <w:r w:rsidR="00942B22" w:rsidRPr="00F71C06">
        <w:rPr>
          <w:rFonts w:cstheme="minorHAnsi"/>
        </w:rPr>
        <w:t xml:space="preserve">per una gestione attenta dei temi della sostenibilità </w:t>
      </w:r>
      <w:r w:rsidR="00E42CD2" w:rsidRPr="00F71C06">
        <w:rPr>
          <w:rFonts w:cstheme="minorHAnsi"/>
        </w:rPr>
        <w:t>nella realizzazione di eventi</w:t>
      </w:r>
      <w:r w:rsidR="00500C30" w:rsidRPr="00F71C06">
        <w:rPr>
          <w:rFonts w:cstheme="minorHAnsi"/>
        </w:rPr>
        <w:t>.</w:t>
      </w:r>
      <w:r w:rsidR="00942B22">
        <w:rPr>
          <w:rFonts w:cstheme="minorHAnsi"/>
        </w:rPr>
        <w:t xml:space="preserve"> </w:t>
      </w:r>
      <w:r w:rsidR="00586A79" w:rsidRPr="00F71C06">
        <w:rPr>
          <w:rFonts w:cstheme="minorHAnsi"/>
        </w:rPr>
        <w:t xml:space="preserve">ARPA Umbria </w:t>
      </w:r>
      <w:r w:rsidR="00E42CD2" w:rsidRPr="00F71C06">
        <w:rPr>
          <w:rFonts w:cstheme="minorHAnsi"/>
        </w:rPr>
        <w:t xml:space="preserve">ha </w:t>
      </w:r>
      <w:r w:rsidR="00EC57FC" w:rsidRPr="00F71C06">
        <w:rPr>
          <w:rFonts w:cstheme="minorHAnsi"/>
        </w:rPr>
        <w:t xml:space="preserve">sviluppato un sistema di rating </w:t>
      </w:r>
      <w:r w:rsidR="00500C30" w:rsidRPr="00F71C06">
        <w:rPr>
          <w:rFonts w:cstheme="minorHAnsi"/>
        </w:rPr>
        <w:t>denominato RES</w:t>
      </w:r>
      <w:r w:rsidR="00EC57FC" w:rsidRPr="00F71C06">
        <w:rPr>
          <w:rFonts w:cstheme="minorHAnsi"/>
        </w:rPr>
        <w:t xml:space="preserve">, che può essere </w:t>
      </w:r>
      <w:r w:rsidR="00500C30" w:rsidRPr="00F71C06">
        <w:rPr>
          <w:rFonts w:cstheme="minorHAnsi"/>
        </w:rPr>
        <w:t xml:space="preserve">utilizzato per descrivere </w:t>
      </w:r>
      <w:r w:rsidR="00586A79" w:rsidRPr="00F71C06">
        <w:rPr>
          <w:rFonts w:cstheme="minorHAnsi"/>
        </w:rPr>
        <w:t xml:space="preserve">le caratteristiche </w:t>
      </w:r>
      <w:r w:rsidR="00EC57FC" w:rsidRPr="00F71C06">
        <w:rPr>
          <w:rFonts w:cstheme="minorHAnsi"/>
        </w:rPr>
        <w:t xml:space="preserve">dei </w:t>
      </w:r>
      <w:r w:rsidR="00500C30" w:rsidRPr="00F71C06">
        <w:rPr>
          <w:rFonts w:cstheme="minorHAnsi"/>
        </w:rPr>
        <w:t xml:space="preserve">singoli </w:t>
      </w:r>
      <w:r w:rsidR="00EC57FC" w:rsidRPr="00F71C06">
        <w:rPr>
          <w:rFonts w:cstheme="minorHAnsi"/>
        </w:rPr>
        <w:t>eventi</w:t>
      </w:r>
      <w:r w:rsidR="00586A79" w:rsidRPr="00F71C06">
        <w:rPr>
          <w:rFonts w:cstheme="minorHAnsi"/>
        </w:rPr>
        <w:t xml:space="preserve"> al fine di tracciare ed apprezzare il </w:t>
      </w:r>
      <w:r w:rsidR="00500C30" w:rsidRPr="00F71C06">
        <w:rPr>
          <w:rFonts w:cstheme="minorHAnsi"/>
        </w:rPr>
        <w:t xml:space="preserve">grado di sensibilità </w:t>
      </w:r>
      <w:r w:rsidR="00586A79" w:rsidRPr="00F71C06">
        <w:rPr>
          <w:rFonts w:cstheme="minorHAnsi"/>
        </w:rPr>
        <w:t>p</w:t>
      </w:r>
      <w:r w:rsidR="00EC57FC" w:rsidRPr="00F71C06">
        <w:rPr>
          <w:rFonts w:cstheme="minorHAnsi"/>
        </w:rPr>
        <w:t xml:space="preserve">osto alla gestione, </w:t>
      </w:r>
      <w:r w:rsidR="00586A79" w:rsidRPr="00F71C06">
        <w:rPr>
          <w:rFonts w:cstheme="minorHAnsi"/>
        </w:rPr>
        <w:t>individuare le aree in cui potenzialmente migliorare il livello di sostenibilità e</w:t>
      </w:r>
      <w:r w:rsidR="00EC57FC" w:rsidRPr="00F71C06">
        <w:rPr>
          <w:rFonts w:cstheme="minorHAnsi"/>
        </w:rPr>
        <w:t xml:space="preserve"> </w:t>
      </w:r>
      <w:r w:rsidR="00586A79" w:rsidRPr="00F71C06">
        <w:rPr>
          <w:rFonts w:cstheme="minorHAnsi"/>
        </w:rPr>
        <w:t xml:space="preserve">strutturare un sistema di monitoraggio </w:t>
      </w:r>
      <w:r w:rsidR="00EC57FC" w:rsidRPr="00F71C06">
        <w:rPr>
          <w:rFonts w:cstheme="minorHAnsi"/>
        </w:rPr>
        <w:t>degli effetti prodotti.</w:t>
      </w:r>
    </w:p>
    <w:p w:rsidR="00F71C06" w:rsidRPr="00F71C06" w:rsidRDefault="002A61B9" w:rsidP="00F71C06">
      <w:pPr>
        <w:spacing w:line="240" w:lineRule="auto"/>
        <w:ind w:hanging="1"/>
        <w:jc w:val="both"/>
        <w:rPr>
          <w:rFonts w:cstheme="minorHAnsi"/>
        </w:rPr>
      </w:pPr>
      <w:r w:rsidRPr="00F71C06">
        <w:rPr>
          <w:rFonts w:cstheme="minorHAnsi"/>
        </w:rPr>
        <w:t>La base di lettura della sostenibilità di un evento è articolata secondo aree di analisi in cui si ha la possibilità di pesare singole scelte</w:t>
      </w:r>
      <w:r w:rsidR="006A7A44" w:rsidRPr="00F71C06">
        <w:rPr>
          <w:rFonts w:cstheme="minorHAnsi"/>
        </w:rPr>
        <w:t xml:space="preserve"> mediante la selezione di specifici indicatori</w:t>
      </w:r>
      <w:r w:rsidRPr="00F71C06">
        <w:rPr>
          <w:rFonts w:cstheme="minorHAnsi"/>
        </w:rPr>
        <w:t xml:space="preserve">. </w:t>
      </w:r>
      <w:r w:rsidR="00500C30" w:rsidRPr="00F71C06">
        <w:rPr>
          <w:rFonts w:cstheme="minorHAnsi"/>
        </w:rPr>
        <w:t xml:space="preserve">Sono state individuate </w:t>
      </w:r>
      <w:r w:rsidRPr="00F71C06">
        <w:rPr>
          <w:rFonts w:cstheme="minorHAnsi"/>
        </w:rPr>
        <w:t>sei aree strategiche</w:t>
      </w:r>
      <w:r w:rsidR="006A7A44" w:rsidRPr="00F71C06">
        <w:rPr>
          <w:rFonts w:cstheme="minorHAnsi"/>
        </w:rPr>
        <w:t xml:space="preserve"> di analisi </w:t>
      </w:r>
      <w:r w:rsidR="00500C30" w:rsidRPr="00F71C06">
        <w:rPr>
          <w:rFonts w:cstheme="minorHAnsi"/>
        </w:rPr>
        <w:t xml:space="preserve">(Progettazione dell’Evento, Localizzazione, Prodotti e Materiali usati, Mobilità, Ristorazione, Monitoraggio e Comunicazione) </w:t>
      </w:r>
      <w:r w:rsidR="006A7A44" w:rsidRPr="00F71C06">
        <w:rPr>
          <w:rFonts w:cstheme="minorHAnsi"/>
        </w:rPr>
        <w:t xml:space="preserve">e </w:t>
      </w:r>
      <w:r w:rsidR="00F71C06" w:rsidRPr="00F71C06">
        <w:rPr>
          <w:rFonts w:cstheme="minorHAnsi"/>
        </w:rPr>
        <w:t>27</w:t>
      </w:r>
      <w:r w:rsidR="006A7A44" w:rsidRPr="00F71C06">
        <w:rPr>
          <w:rFonts w:cstheme="minorHAnsi"/>
        </w:rPr>
        <w:t xml:space="preserve"> indicatori</w:t>
      </w:r>
      <w:r w:rsidR="00F71C06" w:rsidRPr="00F71C06">
        <w:rPr>
          <w:rFonts w:cstheme="minorHAnsi"/>
        </w:rPr>
        <w:t xml:space="preserve"> totali</w:t>
      </w:r>
      <w:r w:rsidR="00F71C06">
        <w:rPr>
          <w:rFonts w:cstheme="minorHAnsi"/>
        </w:rPr>
        <w:t>.</w:t>
      </w:r>
    </w:p>
    <w:p w:rsidR="002A61B9" w:rsidRPr="00F71C06" w:rsidRDefault="00F71C06" w:rsidP="00F71C06">
      <w:pPr>
        <w:spacing w:line="240" w:lineRule="auto"/>
        <w:ind w:hanging="1"/>
        <w:jc w:val="both"/>
        <w:rPr>
          <w:rFonts w:cstheme="minorHAnsi"/>
        </w:rPr>
      </w:pPr>
      <w:r w:rsidRPr="00F71C06">
        <w:rPr>
          <w:rFonts w:cstheme="minorHAnsi"/>
        </w:rPr>
        <w:t xml:space="preserve">Il RES </w:t>
      </w:r>
      <w:r w:rsidR="002A61B9" w:rsidRPr="00F71C06">
        <w:rPr>
          <w:rFonts w:cstheme="minorHAnsi"/>
        </w:rPr>
        <w:t xml:space="preserve">prevede </w:t>
      </w:r>
      <w:r w:rsidRPr="00F71C06">
        <w:rPr>
          <w:rFonts w:cstheme="minorHAnsi"/>
        </w:rPr>
        <w:t>un</w:t>
      </w:r>
      <w:r w:rsidR="002A61B9" w:rsidRPr="00F71C06">
        <w:rPr>
          <w:rFonts w:cstheme="minorHAnsi"/>
        </w:rPr>
        <w:t xml:space="preserve"> punteggio massimo</w:t>
      </w:r>
      <w:r w:rsidR="00B940AE" w:rsidRPr="00F71C06">
        <w:rPr>
          <w:rFonts w:cstheme="minorHAnsi"/>
        </w:rPr>
        <w:t xml:space="preserve"> </w:t>
      </w:r>
      <w:r w:rsidR="00B940AE" w:rsidRPr="00F71C06">
        <w:rPr>
          <w:rFonts w:cstheme="minorHAnsi"/>
          <w:color w:val="00B050"/>
          <w:u w:val="single"/>
        </w:rPr>
        <w:t>(Rating massimo</w:t>
      </w:r>
      <w:r w:rsidR="00B940AE" w:rsidRPr="00F71C06">
        <w:rPr>
          <w:rFonts w:cstheme="minorHAnsi"/>
          <w:color w:val="00B050"/>
        </w:rPr>
        <w:t>)</w:t>
      </w:r>
      <w:r w:rsidR="002A61B9" w:rsidRPr="00F71C06">
        <w:rPr>
          <w:rFonts w:cstheme="minorHAnsi"/>
        </w:rPr>
        <w:t xml:space="preserve"> valido per “quantificare” i singoli indic</w:t>
      </w:r>
      <w:r w:rsidR="00942B22">
        <w:rPr>
          <w:rFonts w:cstheme="minorHAnsi"/>
        </w:rPr>
        <w:t>atori selezionati per ogni area dato dalla</w:t>
      </w:r>
      <w:r w:rsidR="002A61B9" w:rsidRPr="00F71C06">
        <w:rPr>
          <w:rFonts w:cstheme="minorHAnsi"/>
        </w:rPr>
        <w:t xml:space="preserve"> somma dei punteggi degli indicatori di ciascuna area</w:t>
      </w:r>
      <w:r w:rsidR="00942B22">
        <w:rPr>
          <w:rFonts w:cstheme="minorHAnsi"/>
        </w:rPr>
        <w:t>:</w:t>
      </w:r>
      <w:r>
        <w:rPr>
          <w:rFonts w:cstheme="minorHAnsi"/>
        </w:rPr>
        <w:t xml:space="preserve"> s</w:t>
      </w:r>
      <w:r w:rsidR="002A61B9" w:rsidRPr="00F71C06">
        <w:rPr>
          <w:rFonts w:cstheme="minorHAnsi"/>
        </w:rPr>
        <w:t>i tratta di un punteggio teorico di riferimento per ciascuna area</w:t>
      </w:r>
      <w:r w:rsidR="00122967">
        <w:rPr>
          <w:rFonts w:cstheme="minorHAnsi"/>
        </w:rPr>
        <w:t xml:space="preserve"> utile</w:t>
      </w:r>
      <w:r w:rsidR="002A61B9" w:rsidRPr="00F71C06">
        <w:rPr>
          <w:rFonts w:cstheme="minorHAnsi"/>
        </w:rPr>
        <w:t xml:space="preserve"> a definire i parametri da utilizzare per la valutazione dell’evento in esame attraverso un confronto specifico.</w:t>
      </w:r>
    </w:p>
    <w:p w:rsidR="002A61B9" w:rsidRDefault="00F71C06" w:rsidP="00F71C06">
      <w:pPr>
        <w:spacing w:line="240" w:lineRule="auto"/>
        <w:ind w:hanging="1"/>
        <w:jc w:val="both"/>
        <w:rPr>
          <w:rFonts w:cstheme="minorHAnsi"/>
        </w:rPr>
      </w:pPr>
      <w:r w:rsidRPr="00F71C06">
        <w:rPr>
          <w:rFonts w:cstheme="minorHAnsi"/>
        </w:rPr>
        <w:t>P</w:t>
      </w:r>
      <w:r w:rsidR="002A61B9" w:rsidRPr="00F71C06">
        <w:rPr>
          <w:rFonts w:cstheme="minorHAnsi"/>
        </w:rPr>
        <w:t xml:space="preserve">er </w:t>
      </w:r>
      <w:r w:rsidRPr="00F71C06">
        <w:rPr>
          <w:rFonts w:cstheme="minorHAnsi"/>
        </w:rPr>
        <w:t>ogni</w:t>
      </w:r>
      <w:r w:rsidR="002A61B9" w:rsidRPr="00F71C06">
        <w:rPr>
          <w:rFonts w:cstheme="minorHAnsi"/>
        </w:rPr>
        <w:t xml:space="preserve"> singolo evento, sarà necessario “valutare” se quell’indicatore/aspetto sia stato pienamente preso in considerazione nella pianificazione dell’evento stesso. </w:t>
      </w:r>
      <w:r>
        <w:rPr>
          <w:rFonts w:cstheme="minorHAnsi"/>
        </w:rPr>
        <w:t>Attraverso</w:t>
      </w:r>
      <w:r w:rsidR="00B940AE" w:rsidRPr="00F71C06">
        <w:rPr>
          <w:rFonts w:cstheme="minorHAnsi"/>
        </w:rPr>
        <w:t xml:space="preserve"> questa valutazione viene costruito il </w:t>
      </w:r>
      <w:r w:rsidR="002A61B9" w:rsidRPr="00F71C06">
        <w:rPr>
          <w:rFonts w:cstheme="minorHAnsi"/>
          <w:b/>
          <w:color w:val="00B050"/>
        </w:rPr>
        <w:t>“Rating ex ante”</w:t>
      </w:r>
      <w:r w:rsidR="00B940AE" w:rsidRPr="00F71C06">
        <w:rPr>
          <w:rFonts w:cstheme="minorHAnsi"/>
          <w:color w:val="00B050"/>
        </w:rPr>
        <w:t>,</w:t>
      </w:r>
      <w:r w:rsidR="002A61B9" w:rsidRPr="00F71C06">
        <w:rPr>
          <w:rFonts w:cstheme="minorHAnsi"/>
        </w:rPr>
        <w:t xml:space="preserve"> frutto dell’applicazione dell’indicatore all’evento reale; in sostanza si valuta se effettivamente quanto richiesto </w:t>
      </w:r>
      <w:r>
        <w:rPr>
          <w:rFonts w:cstheme="minorHAnsi"/>
        </w:rPr>
        <w:t>è stato o sarà</w:t>
      </w:r>
      <w:r w:rsidR="002A61B9" w:rsidRPr="00F71C06">
        <w:rPr>
          <w:rFonts w:cstheme="minorHAnsi"/>
        </w:rPr>
        <w:t xml:space="preserve"> applicato nella gestione e programmazione della proposta. In questo modo è possibile calcolare un punteggio specifico per il singolo evento confrontab</w:t>
      </w:r>
      <w:r>
        <w:rPr>
          <w:rFonts w:cstheme="minorHAnsi"/>
        </w:rPr>
        <w:t>ile con quello massimo calcolato (espresso in termini percentuali da 0 a 100 rispetto al massimo)</w:t>
      </w:r>
    </w:p>
    <w:p w:rsidR="00401C3D" w:rsidRPr="00401C3D" w:rsidRDefault="00122967" w:rsidP="00401C3D">
      <w:pPr>
        <w:spacing w:line="240" w:lineRule="auto"/>
        <w:ind w:hanging="1"/>
        <w:jc w:val="both"/>
        <w:rPr>
          <w:rFonts w:cstheme="minorHAnsi"/>
          <w:color w:val="000000"/>
        </w:rPr>
      </w:pPr>
      <w:r>
        <w:rPr>
          <w:rFonts w:cstheme="minorHAnsi"/>
        </w:rPr>
        <w:t>L</w:t>
      </w:r>
      <w:r w:rsidR="00F71C06">
        <w:rPr>
          <w:rFonts w:cstheme="minorHAnsi"/>
        </w:rPr>
        <w:t>’adesione al sistema di rating è volontaria e permette di ottenere un massimo di 3 punti utili alla valutazione della proposta.</w:t>
      </w:r>
      <w:r w:rsidR="00401C3D">
        <w:rPr>
          <w:rFonts w:cstheme="minorHAnsi"/>
        </w:rPr>
        <w:t xml:space="preserve"> Per accedere al RES o</w:t>
      </w:r>
      <w:r w:rsidR="00401C3D" w:rsidRPr="00401C3D">
        <w:rPr>
          <w:rFonts w:cstheme="minorHAnsi"/>
          <w:color w:val="000000"/>
        </w:rPr>
        <w:t xml:space="preserve">ccorre raggiungere la pagina internet </w:t>
      </w:r>
      <w:hyperlink r:id="rId11" w:history="1">
        <w:r w:rsidR="00401C3D" w:rsidRPr="00401C3D">
          <w:rPr>
            <w:rStyle w:val="Collegamentoipertestuale"/>
            <w:rFonts w:cstheme="minorHAnsi"/>
          </w:rPr>
          <w:t>https://apps.arpa.umbria.it/ratingeventiarpaumbria</w:t>
        </w:r>
      </w:hyperlink>
      <w:r w:rsidR="00401C3D" w:rsidRPr="00401C3D">
        <w:rPr>
          <w:rFonts w:cstheme="minorHAnsi"/>
          <w:color w:val="000000"/>
        </w:rPr>
        <w:t xml:space="preserve"> </w:t>
      </w:r>
      <w:r w:rsidR="00401C3D">
        <w:rPr>
          <w:rFonts w:cstheme="minorHAnsi"/>
          <w:color w:val="000000"/>
        </w:rPr>
        <w:t xml:space="preserve">in cui si dovranno </w:t>
      </w:r>
      <w:r w:rsidR="00401C3D" w:rsidRPr="00401C3D">
        <w:rPr>
          <w:rFonts w:cstheme="minorHAnsi"/>
          <w:color w:val="000000"/>
        </w:rPr>
        <w:t xml:space="preserve">creare le proprie credenziali </w:t>
      </w:r>
      <w:r w:rsidR="00401C3D">
        <w:rPr>
          <w:rFonts w:cstheme="minorHAnsi"/>
          <w:color w:val="000000"/>
        </w:rPr>
        <w:t>utilizzando</w:t>
      </w:r>
      <w:r w:rsidR="00401C3D" w:rsidRPr="00401C3D">
        <w:rPr>
          <w:rFonts w:cstheme="minorHAnsi"/>
          <w:color w:val="000000"/>
        </w:rPr>
        <w:t xml:space="preserve"> </w:t>
      </w:r>
      <w:r w:rsidR="00401C3D">
        <w:rPr>
          <w:rFonts w:cstheme="minorHAnsi"/>
          <w:color w:val="000000"/>
        </w:rPr>
        <w:t>i</w:t>
      </w:r>
      <w:r w:rsidR="00401C3D" w:rsidRPr="00401C3D">
        <w:rPr>
          <w:rFonts w:cstheme="minorHAnsi"/>
          <w:color w:val="000000"/>
        </w:rPr>
        <w:t xml:space="preserve">l link 'Crea un utente', </w:t>
      </w:r>
      <w:r w:rsidR="00401C3D">
        <w:rPr>
          <w:rFonts w:cstheme="minorHAnsi"/>
          <w:color w:val="000000"/>
        </w:rPr>
        <w:t xml:space="preserve">ed </w:t>
      </w:r>
      <w:r w:rsidR="00401C3D" w:rsidRPr="00401C3D">
        <w:rPr>
          <w:rFonts w:cstheme="minorHAnsi"/>
          <w:color w:val="000000"/>
        </w:rPr>
        <w:t>immette</w:t>
      </w:r>
      <w:r w:rsidR="00401C3D">
        <w:rPr>
          <w:rFonts w:cstheme="minorHAnsi"/>
          <w:color w:val="000000"/>
        </w:rPr>
        <w:t>ndo</w:t>
      </w:r>
      <w:r w:rsidR="00401C3D" w:rsidRPr="00401C3D">
        <w:rPr>
          <w:rFonts w:cstheme="minorHAnsi"/>
          <w:color w:val="000000"/>
        </w:rPr>
        <w:t xml:space="preserve"> il proprio indirizzo di posta elettronica che fungerà da username</w:t>
      </w:r>
      <w:r w:rsidR="00401C3D">
        <w:rPr>
          <w:rFonts w:cstheme="minorHAnsi"/>
          <w:color w:val="000000"/>
        </w:rPr>
        <w:t>. Sarà poi necessario</w:t>
      </w:r>
      <w:r w:rsidR="00401C3D" w:rsidRPr="00401C3D">
        <w:rPr>
          <w:rFonts w:cstheme="minorHAnsi"/>
          <w:color w:val="000000"/>
        </w:rPr>
        <w:t xml:space="preserve"> scegliere una password digitandola due volte. </w:t>
      </w:r>
      <w:r w:rsidR="00401C3D">
        <w:rPr>
          <w:rFonts w:cstheme="minorHAnsi"/>
          <w:color w:val="000000"/>
        </w:rPr>
        <w:t xml:space="preserve">Utilizzando il </w:t>
      </w:r>
      <w:r w:rsidR="00401C3D" w:rsidRPr="00401C3D">
        <w:rPr>
          <w:rFonts w:cstheme="minorHAnsi"/>
          <w:color w:val="000000"/>
        </w:rPr>
        <w:t xml:space="preserve">tasto 'CREA' </w:t>
      </w:r>
      <w:r w:rsidR="00401C3D">
        <w:rPr>
          <w:rFonts w:cstheme="minorHAnsi"/>
          <w:color w:val="000000"/>
        </w:rPr>
        <w:t xml:space="preserve">per inviare le username e password scelte </w:t>
      </w:r>
      <w:r w:rsidR="00401C3D" w:rsidRPr="00401C3D">
        <w:rPr>
          <w:rFonts w:cstheme="minorHAnsi"/>
          <w:color w:val="000000"/>
        </w:rPr>
        <w:t>si riceverà all'indirizzo</w:t>
      </w:r>
      <w:r w:rsidR="00401C3D">
        <w:rPr>
          <w:rFonts w:cstheme="minorHAnsi"/>
          <w:color w:val="000000"/>
        </w:rPr>
        <w:t xml:space="preserve"> indicato una email con il collegamento per </w:t>
      </w:r>
      <w:r w:rsidR="00401C3D" w:rsidRPr="00401C3D">
        <w:rPr>
          <w:rFonts w:cstheme="minorHAnsi"/>
          <w:color w:val="000000"/>
        </w:rPr>
        <w:t xml:space="preserve">attivare le credenziali appena create. Una volta completata l'attivazione l'indirizzo sopra riportato fungerà da pagina di ingresso al sistema. Ogni pagina del sistema è corredata di un help online che si apre con il tasto contrassegnato con il punto interrogativo. </w:t>
      </w:r>
    </w:p>
    <w:p w:rsidR="00401C3D" w:rsidRPr="00401C3D" w:rsidRDefault="00401C3D" w:rsidP="00401C3D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Per eventuale</w:t>
      </w:r>
      <w:r w:rsidRPr="00401C3D">
        <w:rPr>
          <w:rFonts w:cstheme="minorHAnsi"/>
          <w:color w:val="000000"/>
        </w:rPr>
        <w:t xml:space="preserve"> ulteriore </w:t>
      </w:r>
      <w:r>
        <w:rPr>
          <w:rFonts w:cstheme="minorHAnsi"/>
          <w:color w:val="000000"/>
        </w:rPr>
        <w:t>supporto</w:t>
      </w:r>
      <w:r w:rsidRPr="00401C3D">
        <w:rPr>
          <w:rFonts w:cstheme="minorHAnsi"/>
          <w:color w:val="000000"/>
        </w:rPr>
        <w:t xml:space="preserve"> si pu</w:t>
      </w:r>
      <w:r>
        <w:rPr>
          <w:rFonts w:cstheme="minorHAnsi"/>
          <w:color w:val="000000"/>
        </w:rPr>
        <w:t xml:space="preserve">ò contattare </w:t>
      </w:r>
      <w:r w:rsidRPr="00401C3D">
        <w:rPr>
          <w:rFonts w:cstheme="minorHAnsi"/>
          <w:color w:val="000000"/>
        </w:rPr>
        <w:t xml:space="preserve">ARPA Umbria tramite la casella </w:t>
      </w:r>
      <w:hyperlink r:id="rId12" w:history="1">
        <w:r w:rsidRPr="00401C3D">
          <w:rPr>
            <w:rStyle w:val="Collegamentoipertestuale"/>
            <w:rFonts w:cstheme="minorHAnsi"/>
          </w:rPr>
          <w:t>res@arpa.umbria.it</w:t>
        </w:r>
      </w:hyperlink>
      <w:r w:rsidRPr="00401C3D">
        <w:rPr>
          <w:rFonts w:cstheme="minorHAnsi"/>
          <w:color w:val="000000"/>
        </w:rPr>
        <w:t xml:space="preserve"> </w:t>
      </w:r>
    </w:p>
    <w:p w:rsidR="00401C3D" w:rsidRDefault="00401C3D" w:rsidP="00F71C06">
      <w:pPr>
        <w:spacing w:line="240" w:lineRule="auto"/>
        <w:ind w:hanging="1"/>
        <w:jc w:val="both"/>
        <w:rPr>
          <w:rFonts w:cstheme="minorHAnsi"/>
        </w:rPr>
      </w:pPr>
    </w:p>
    <w:sectPr w:rsidR="00401C3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2B22" w:rsidRDefault="00942B22" w:rsidP="00586A79">
      <w:pPr>
        <w:spacing w:after="0" w:line="240" w:lineRule="auto"/>
      </w:pPr>
      <w:r>
        <w:separator/>
      </w:r>
    </w:p>
  </w:endnote>
  <w:endnote w:type="continuationSeparator" w:id="0">
    <w:p w:rsidR="00942B22" w:rsidRDefault="00942B22" w:rsidP="00586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2B22" w:rsidRDefault="00942B22" w:rsidP="00586A79">
      <w:pPr>
        <w:spacing w:after="0" w:line="240" w:lineRule="auto"/>
      </w:pPr>
      <w:r>
        <w:separator/>
      </w:r>
    </w:p>
  </w:footnote>
  <w:footnote w:type="continuationSeparator" w:id="0">
    <w:p w:rsidR="00942B22" w:rsidRDefault="00942B22" w:rsidP="00586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9F2A4D"/>
    <w:multiLevelType w:val="multilevel"/>
    <w:tmpl w:val="1E10AD38"/>
    <w:lvl w:ilvl="0">
      <w:start w:val="1"/>
      <w:numFmt w:val="bullet"/>
      <w:lvlText w:val=""/>
      <w:lvlJc w:val="left"/>
      <w:pPr>
        <w:tabs>
          <w:tab w:val="num" w:pos="0"/>
        </w:tabs>
        <w:ind w:left="1425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5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A79"/>
    <w:rsid w:val="00122967"/>
    <w:rsid w:val="00191219"/>
    <w:rsid w:val="00262639"/>
    <w:rsid w:val="002A61B9"/>
    <w:rsid w:val="00305647"/>
    <w:rsid w:val="00325433"/>
    <w:rsid w:val="00401C3D"/>
    <w:rsid w:val="00462A02"/>
    <w:rsid w:val="00500C30"/>
    <w:rsid w:val="005775FF"/>
    <w:rsid w:val="00586A79"/>
    <w:rsid w:val="006A7A44"/>
    <w:rsid w:val="0070283E"/>
    <w:rsid w:val="007466D0"/>
    <w:rsid w:val="00786613"/>
    <w:rsid w:val="007A2F7D"/>
    <w:rsid w:val="00942B22"/>
    <w:rsid w:val="00B036CC"/>
    <w:rsid w:val="00B940AE"/>
    <w:rsid w:val="00CC5471"/>
    <w:rsid w:val="00DE4011"/>
    <w:rsid w:val="00E42CD2"/>
    <w:rsid w:val="00E73FDF"/>
    <w:rsid w:val="00EC57FC"/>
    <w:rsid w:val="00F7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3683C"/>
  <w15:docId w15:val="{77EF645D-020F-4CF3-87CE-BD631476E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86A79"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586A79"/>
    <w:rPr>
      <w:sz w:val="20"/>
      <w:szCs w:val="20"/>
    </w:rPr>
  </w:style>
  <w:style w:type="character" w:customStyle="1" w:styleId="Richiamoallanotaapidipagina">
    <w:name w:val="Richiamo alla nota a piè di pagina"/>
    <w:rsid w:val="00586A79"/>
    <w:rPr>
      <w:vertAlign w:val="superscript"/>
    </w:rPr>
  </w:style>
  <w:style w:type="character" w:customStyle="1" w:styleId="Caratterinotaapidipagina">
    <w:name w:val="Caratteri nota a piè di pagina"/>
    <w:qFormat/>
    <w:rsid w:val="00586A79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86A79"/>
    <w:pPr>
      <w:spacing w:after="0" w:line="240" w:lineRule="auto"/>
    </w:pPr>
    <w:rPr>
      <w:sz w:val="20"/>
      <w:szCs w:val="20"/>
    </w:rPr>
  </w:style>
  <w:style w:type="character" w:customStyle="1" w:styleId="TestonotaapidipaginaCarattere1">
    <w:name w:val="Testo nota a piè di pagina Carattere1"/>
    <w:basedOn w:val="Carpredefinitoparagrafo"/>
    <w:uiPriority w:val="99"/>
    <w:semiHidden/>
    <w:rsid w:val="00586A79"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30564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semiHidden/>
    <w:unhideWhenUsed/>
    <w:rsid w:val="00401C3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999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res@arpa.umbria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u-central-1.protection.sophos.com?d=arpa.umbria.it&amp;u=aHR0cHM6Ly9hcHBzLmFycGEudW1icmlhLml0L3JhdGluZ2V2ZW50aWFycGF1bWJyaWE=&amp;i=NWI1NWI2MDY2ZjNjMzcxMzQzZjQyNTNi&amp;t=d3lvZ1YwMTkxNU5tTjhCQUtTRk80T0tTUndTUWM3RVJGd3NXOFd5N2x4WT0=&amp;h=680342ba85d5493089c29c9d3f394d6b&amp;s=AVNPUEhUT0NFTkNSWVBUSVYu1NK6HKnbCNdO_1NRNy1oWiHzRkwfHUKT4yMpDo4KXw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526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Stufara Valentina</dc:creator>
  <cp:lastModifiedBy>Giulia Palma</cp:lastModifiedBy>
  <cp:revision>5</cp:revision>
  <dcterms:created xsi:type="dcterms:W3CDTF">2024-04-19T08:11:00Z</dcterms:created>
  <dcterms:modified xsi:type="dcterms:W3CDTF">2024-10-29T16:07:00Z</dcterms:modified>
</cp:coreProperties>
</file>